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54"/>
        <w:tblW w:w="106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2"/>
      </w:tblGrid>
      <w:tr w:rsidR="00732A90" w:rsidRPr="00732A90" w:rsidTr="00732A90">
        <w:trPr>
          <w:tblCellSpacing w:w="0" w:type="dxa"/>
        </w:trPr>
        <w:tc>
          <w:tcPr>
            <w:tcW w:w="10692" w:type="dxa"/>
            <w:shd w:val="clear" w:color="auto" w:fill="FFFFFF"/>
            <w:vAlign w:val="center"/>
            <w:hideMark/>
          </w:tcPr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val="ru-RU" w:eastAsia="ru-RU"/>
              </w:rPr>
              <w:drawing>
                <wp:inline distT="0" distB="0" distL="0" distR="0" wp14:anchorId="0918DA0E" wp14:editId="1971FD97">
                  <wp:extent cx="1708150" cy="643255"/>
                  <wp:effectExtent l="0" t="0" r="6350" b="4445"/>
                  <wp:docPr id="2" name="Рисунок 2" descr="Світ освіти Osvita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віт освіти Osvita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A90" w:rsidRPr="00732A90" w:rsidRDefault="00732A90" w:rsidP="00732A90">
            <w:pPr>
              <w:spacing w:line="360" w:lineRule="auto"/>
              <w:jc w:val="both"/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 w:eastAsia="ru-RU"/>
              </w:rPr>
            </w:pPr>
            <w:r w:rsidRPr="00732A90">
              <w:rPr>
                <w:rFonts w:ascii="Tahoma" w:eastAsia="Times New Roman" w:hAnsi="Tahoma" w:cs="Tahoma"/>
                <w:color w:val="000000"/>
                <w:sz w:val="17"/>
                <w:szCs w:val="17"/>
                <w:lang w:val="ru-RU" w:eastAsia="ru-RU"/>
              </w:rPr>
              <w:t>http://osvita.ua/</w:t>
            </w:r>
          </w:p>
          <w:tbl>
            <w:tblPr>
              <w:tblW w:w="1069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7"/>
              <w:gridCol w:w="7085"/>
            </w:tblGrid>
            <w:tr w:rsidR="00732A90" w:rsidRPr="00732A90" w:rsidTr="00732A9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732A90" w:rsidRPr="00732A90" w:rsidRDefault="00732A90" w:rsidP="00732A90">
                  <w:pPr>
                    <w:framePr w:hSpace="180" w:wrap="around" w:hAnchor="margin" w:xAlign="center" w:y="-854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666666"/>
                      <w:sz w:val="18"/>
                      <w:szCs w:val="18"/>
                      <w:lang w:val="ru-RU" w:eastAsia="ru-RU"/>
                    </w:rPr>
                    <w:drawing>
                      <wp:inline distT="0" distB="0" distL="0" distR="0" wp14:anchorId="451A4DAA" wp14:editId="1D225B5C">
                        <wp:extent cx="2099945" cy="1376680"/>
                        <wp:effectExtent l="0" t="0" r="0" b="0"/>
                        <wp:docPr id="1" name="Рисунок 1" descr="https://osvita.ua/doc/images/news/843/84393/beautiful-student-pointing-copyspace_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svita.ua/doc/images/news/843/84393/beautiful-student-pointing-copyspace_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9945" cy="137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150" w:type="dxa"/>
                    <w:bottom w:w="30" w:type="dxa"/>
                    <w:right w:w="150" w:type="dxa"/>
                  </w:tcMar>
                  <w:vAlign w:val="center"/>
                  <w:hideMark/>
                </w:tcPr>
                <w:p w:rsidR="00732A90" w:rsidRPr="00732A90" w:rsidRDefault="00732A90" w:rsidP="00732A90">
                  <w:pPr>
                    <w:framePr w:hSpace="180" w:wrap="around" w:hAnchor="margin" w:xAlign="center" w:y="-854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Що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необхідно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знати про ЗНО і ДПА </w:t>
                  </w: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випускникам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шкіл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і </w:t>
                  </w: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вступникам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до </w:t>
                  </w:r>
                  <w:proofErr w:type="spellStart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>вишів</w:t>
                  </w:r>
                  <w:proofErr w:type="spellEnd"/>
                  <w:r w:rsidRPr="00732A90">
                    <w:rPr>
                      <w:rFonts w:ascii="Times New Roman" w:eastAsia="Times New Roman" w:hAnsi="Times New Roman" w:cs="Times New Roman"/>
                      <w:color w:val="666666"/>
                      <w:sz w:val="18"/>
                      <w:szCs w:val="18"/>
                      <w:lang w:val="ru-RU" w:eastAsia="ru-RU"/>
                    </w:rPr>
                    <w:t xml:space="preserve"> 2022 року</w:t>
                  </w:r>
                </w:p>
              </w:tc>
            </w:tr>
          </w:tbl>
          <w:p w:rsidR="00732A90" w:rsidRPr="00732A90" w:rsidRDefault="00732A90" w:rsidP="00732A90">
            <w:pPr>
              <w:spacing w:after="150" w:line="36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 xml:space="preserve">Як </w:t>
            </w:r>
            <w:proofErr w:type="spellStart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>проходитиме</w:t>
            </w:r>
            <w:proofErr w:type="spellEnd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33"/>
                <w:szCs w:val="33"/>
                <w:lang w:val="ru-RU" w:eastAsia="ru-RU"/>
              </w:rPr>
              <w:t xml:space="preserve"> 2022 року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таке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hyperlink r:id="rId8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ЗНО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) – це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ізних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навчальних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пройти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середньої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ЗНО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проводять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того,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щоб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визначити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івень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досягнень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час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навчання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школі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забезпечити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доступ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Таким чином,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можуть бути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використані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двох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цілей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:</w:t>
            </w:r>
          </w:p>
          <w:p w:rsidR="00732A90" w:rsidRPr="00732A90" w:rsidRDefault="00732A90" w:rsidP="00732A90">
            <w:pPr>
              <w:numPr>
                <w:ilvl w:val="0"/>
                <w:numId w:val="1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іспитів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школі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державної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ідсумкової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атестації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ДПА) –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шкалою від 1 до 12;</w:t>
            </w:r>
          </w:p>
          <w:p w:rsidR="00732A90" w:rsidRPr="00732A90" w:rsidRDefault="00732A90" w:rsidP="00732A90">
            <w:pPr>
              <w:numPr>
                <w:ilvl w:val="0"/>
                <w:numId w:val="1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іспиті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–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бали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шкалою від 100 до 200.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проводить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"https://osvita.ua/test/test_office/822/"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Український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центр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якості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 та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його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ідрозділи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–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"https://osvita.ua/test/advice/64504/"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регіональні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центри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якості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ЗНО проходить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спеціально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створених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пунктах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Хто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складати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ЗНО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Брати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участь у ЗНО можуть особи,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завершують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здобуття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повної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загальної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середньої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року),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вже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здобули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її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минулих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років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).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Випускникам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обов’язково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пройти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державну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ідсумкову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атестацію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формі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цієї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категорії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належать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старшої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школи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також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студенти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професійно-технічних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року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здобувають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повну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загальну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середню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реєструються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ЗНО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тому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де вони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навчаються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Випускникам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минулих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років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складати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ЗНО,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вони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планують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навчання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"https://osvita.ua/vnz/guide/"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реєстрації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ЗНО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надіслати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реєстраційні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документи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регіонального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центру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якості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звернутися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пунктів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реєстрації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перелік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є на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"https://testportal.gov.ua/registr/"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сайті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центру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якості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Реєстрація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пройде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початку 2022 року.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складати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ЗНО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Відповідно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 </w:t>
            </w:r>
            <w:hyperlink r:id="rId9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наказу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Міносвіти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кожен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зареєстрований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право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безкоштовно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пройти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щонайбільше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п’яти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також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змогу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скласти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більшої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кількості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кошти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фізичних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юридичних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осіб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lastRenderedPageBreak/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відбувається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таких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: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література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математика (завдання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івня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стандарту);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математика;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історія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англ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ійська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іспанська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німецька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французька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іологія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географія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фізика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хі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обов’язково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скласти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тобто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пройти ДПА) з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таких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:</w:t>
            </w:r>
          </w:p>
          <w:p w:rsidR="00732A90" w:rsidRPr="00732A90" w:rsidRDefault="00732A90" w:rsidP="00732A90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математика;</w:t>
            </w:r>
          </w:p>
          <w:p w:rsidR="00732A90" w:rsidRPr="00732A90" w:rsidRDefault="00732A90" w:rsidP="00732A90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історія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іноземна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англ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ійська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іспанська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німецька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французька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) – за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вибором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3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четвертий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предмет за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вибором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історія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біологія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географія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фізика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хімія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англ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ійська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іспанська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німецька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французька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).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2022 року,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минулих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років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пройти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тих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конкретного вишу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наприклад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математика,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фізика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тощо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). </w:t>
            </w:r>
            <w:proofErr w:type="gramEnd"/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Аби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правильно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визначити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треба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скласти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 заклад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учасникам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ознайомитися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переліком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конкурсних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ЗНО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обрану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спец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іальність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Такий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перелі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буде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передбачений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умовами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прийому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ним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можна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буде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ознайомитися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сайті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hyperlink r:id="rId10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Освіта.ua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ДПА, а які –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вишу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Важливо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пам’ятати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деяких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ізняться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залежно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від того,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чи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складається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цей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предмет як ДПА,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чи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як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вступний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іспит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виш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Так,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існують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окремі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з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"https://osvita.ua/test/training/77029/"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української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та з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"https://osvita.ua/test/training/5013/"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української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літератури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Як ДПА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зараховують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тільки результат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можуть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знадобитися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або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літератури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Це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залежить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від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спеціальності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на яку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намі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Окрім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того,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переліку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ЗНО є </w:t>
            </w:r>
            <w:hyperlink r:id="rId11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математика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 і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математика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(завдання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стандарту). Як результат ДПА з математики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зараховують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результат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івня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вивчав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школі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математику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стандарту)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вивчав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математику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профільному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).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тесту з </w: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lastRenderedPageBreak/>
              <w:t>математики.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державної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ідсумкової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атестації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"https://osvita.ua/test/training/5040/"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історії</w:t>
            </w:r>
            <w:proofErr w:type="spell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України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враховують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результат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частини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«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Період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XX – початок XXI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століття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».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закладу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тесту.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 результат ДПА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іноземної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"https://osvita.ua/test/training/5048/"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proofErr w:type="gramStart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англ</w:t>
            </w:r>
            <w:proofErr w:type="gramEnd"/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ійської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,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"https://osvita.ua/test/training/5192/"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іспанської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,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"https://osvita.ua/test/training/5194/"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німецької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або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"https://osvita.ua/test/training/5193/"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французької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) буде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зараховано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результат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вивчав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цю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іноземну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стандарту) або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тесту (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випускник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вивчав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цю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іноземну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профільному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рівні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).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вступу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закладів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вищої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потрібні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результати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тесту з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іноземної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мови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перев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ірятимуть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ЗНО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Тести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створені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перевірки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здобутих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час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навчання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школі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Більше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того,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конкретний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зміст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ідповідає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спеціально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розробленим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"https://osvita.ua/test/program_zno/"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програмам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незалежного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Ознайомившись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із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цими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програмами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може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зосередитися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саме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тих темах,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поняттях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явищах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датах,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творах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знадобляться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йому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ід час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складання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ЗНО.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Як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готуватися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ЗНО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ісля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того як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визначився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предметами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варто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почати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підготовку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 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Необхідно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зважати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те,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з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ізних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предметів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по-різному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охоплюють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шкільну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програму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Подекуди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знадобляться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знання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5-й – 11-й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класи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подекуди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– за 7-й – 11-й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тощо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Саме тому треба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орієнтуватися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змі</w:t>
            </w:r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</w:t>
            </w:r>
            <w:proofErr w:type="spellEnd"/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instrText xml:space="preserve"> HYPERLINK "https://osvita.ua/test/program_zno/" </w:instrText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lang w:val="ru-RU" w:eastAsia="ru-RU"/>
              </w:rPr>
              <w:t>програми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ЗНО з конкретного предмета.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комфортної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ідготовки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тестування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можуть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скористатися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матеріалами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сайту </w:t>
            </w:r>
            <w:hyperlink r:id="rId12" w:history="1">
              <w:r w:rsidRPr="00732A90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  <w:lang w:val="ru-RU" w:eastAsia="ru-RU"/>
                </w:rPr>
                <w:t>ЗНО-ОНЛАЙН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.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цьому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сайті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вони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матимуть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змогу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виконувати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тести за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всі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роки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опрацьовувати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завдання,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згруповані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за темами,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читати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коментарі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завдань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написані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провідними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фахівцями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-предметниками.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proofErr w:type="gram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Окр</w:t>
            </w:r>
            <w:proofErr w:type="gram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ім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того, на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сайті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hyperlink r:id="rId13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Освіта.ua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розміщено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додаткові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матеріали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які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стануть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пригоді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під час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підготовки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до ЗНО.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Зокрема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можуть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скористатися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:</w:t>
            </w:r>
          </w:p>
          <w:p w:rsidR="00732A90" w:rsidRPr="00732A90" w:rsidRDefault="00732A90" w:rsidP="00732A90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14" w:history="1">
              <w:proofErr w:type="spellStart"/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пос</w:t>
              </w:r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ібником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написання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власного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висловлення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української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мови</w:t>
              </w:r>
              <w:proofErr w:type="spellEnd"/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15" w:history="1">
              <w:proofErr w:type="spellStart"/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пос</w:t>
              </w:r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ібником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написання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власного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висловлення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англійської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мови</w:t>
              </w:r>
              <w:proofErr w:type="spellEnd"/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16" w:history="1"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скороченими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творами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української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літератури</w:t>
              </w:r>
              <w:proofErr w:type="spellEnd"/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17" w:history="1"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подкастами для </w:t>
              </w:r>
              <w:proofErr w:type="spellStart"/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</w:t>
              </w:r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ідготовки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до тесту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української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літератури</w:t>
              </w:r>
              <w:proofErr w:type="spellEnd"/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;</w:t>
            </w:r>
          </w:p>
          <w:p w:rsidR="00732A90" w:rsidRPr="00732A90" w:rsidRDefault="00732A90" w:rsidP="00732A90">
            <w:pPr>
              <w:numPr>
                <w:ilvl w:val="0"/>
                <w:numId w:val="4"/>
              </w:numPr>
              <w:spacing w:after="0" w:line="36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18" w:history="1"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візуалізованим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переліком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персоналій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і </w:t>
              </w:r>
              <w:proofErr w:type="spellStart"/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пам’яток</w:t>
              </w:r>
              <w:proofErr w:type="spellEnd"/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історії</w:t>
              </w:r>
              <w:proofErr w:type="spell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</w:t>
              </w:r>
              <w:proofErr w:type="spell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України</w:t>
              </w:r>
              <w:proofErr w:type="spellEnd"/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Для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ознайомлення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з процедурою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проходження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зовнішнього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учасники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мають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змогу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взяти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участь у </w:t>
            </w:r>
            <w:hyperlink r:id="rId19" w:history="1"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пробному</w:t>
              </w:r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 xml:space="preserve"> ЗНО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, яке проводиться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Українським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центром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оцінювання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якості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освіти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hyperlink r:id="rId20" w:history="1">
              <w:proofErr w:type="gramStart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Б</w:t>
              </w:r>
              <w:proofErr w:type="gramEnd"/>
              <w:r w:rsidRPr="00732A90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ru-RU" w:eastAsia="ru-RU"/>
                </w:rPr>
                <w:t>ІЛЬШЕ ПРО ЗОВНІШНЄ НЕЗАЛЕЖНЕ ОЦІНЮВАННЯ</w:t>
              </w:r>
            </w:hyperlink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Для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отримання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оперативної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інформації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про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проведення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ЗНО та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вступної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кампанії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приєднуйтесь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до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сторінок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instrText xml:space="preserve"> HYPERLINK "https://t.me/vstuposvita" \t "_blank" </w:instrText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>Вступна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>кампанія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 xml:space="preserve"> в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>Telegram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 або 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begin"/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instrText xml:space="preserve"> HYPERLINK "https://www.facebook.com/abiturients/?fref=ts" \t "_blank" </w:instrText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separate"/>
            </w:r>
            <w:r w:rsidRPr="00732A90">
              <w:rPr>
                <w:rFonts w:ascii="Arial" w:eastAsia="Times New Roman" w:hAnsi="Arial" w:cs="Arial"/>
                <w:i/>
                <w:iCs/>
                <w:color w:val="0000FF"/>
                <w:sz w:val="21"/>
                <w:szCs w:val="21"/>
                <w:u w:val="single"/>
                <w:lang w:val="ru-RU" w:eastAsia="ru-RU"/>
              </w:rPr>
              <w:t>Абітурієнт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fldChar w:fldCharType="end"/>
            </w:r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 і </w:t>
            </w:r>
            <w:hyperlink r:id="rId21" w:tgtFrame="_blank" w:history="1">
              <w:r w:rsidRPr="00732A90">
                <w:rPr>
                  <w:rFonts w:ascii="Arial" w:eastAsia="Times New Roman" w:hAnsi="Arial" w:cs="Arial"/>
                  <w:i/>
                  <w:iCs/>
                  <w:color w:val="0000FF"/>
                  <w:sz w:val="21"/>
                  <w:szCs w:val="21"/>
                  <w:u w:val="single"/>
                  <w:lang w:val="ru-RU" w:eastAsia="ru-RU"/>
                </w:rPr>
                <w:t>Освіта.ua</w:t>
              </w:r>
            </w:hyperlink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 </w:t>
            </w:r>
            <w:proofErr w:type="gram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у</w:t>
            </w:r>
            <w:proofErr w:type="gram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Facebook</w:t>
            </w:r>
            <w:proofErr w:type="spellEnd"/>
            <w:r w:rsidRPr="00732A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val="ru-RU" w:eastAsia="ru-RU"/>
              </w:rPr>
              <w:t>.</w:t>
            </w:r>
          </w:p>
          <w:p w:rsidR="00732A90" w:rsidRPr="00732A90" w:rsidRDefault="00732A90" w:rsidP="00732A9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</w:pPr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t xml:space="preserve">За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t>матеріалами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t>: </w:t>
            </w:r>
            <w:hyperlink r:id="rId22" w:tooltip="osvita.ua" w:history="1">
              <w:r w:rsidRPr="00732A90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val="ru-RU" w:eastAsia="ru-RU"/>
                </w:rPr>
                <w:t>Освіта.ua</w:t>
              </w:r>
            </w:hyperlink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br/>
              <w:t xml:space="preserve">Дата </w:t>
            </w:r>
            <w:proofErr w:type="spellStart"/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t>публікації</w:t>
            </w:r>
            <w:proofErr w:type="spellEnd"/>
            <w:r w:rsidRPr="00732A90">
              <w:rPr>
                <w:rFonts w:ascii="Arial" w:eastAsia="Times New Roman" w:hAnsi="Arial" w:cs="Arial"/>
                <w:color w:val="000000"/>
                <w:sz w:val="17"/>
                <w:szCs w:val="17"/>
                <w:lang w:val="ru-RU" w:eastAsia="ru-RU"/>
              </w:rPr>
              <w:t>: 17.09.2021</w:t>
            </w:r>
          </w:p>
        </w:tc>
      </w:tr>
    </w:tbl>
    <w:p w:rsidR="00B35E6C" w:rsidRPr="00732A90" w:rsidRDefault="00B35E6C" w:rsidP="00732A90">
      <w:pPr>
        <w:spacing w:line="360" w:lineRule="auto"/>
        <w:jc w:val="both"/>
        <w:rPr>
          <w:lang w:val="ru-RU"/>
        </w:rPr>
      </w:pPr>
    </w:p>
    <w:sectPr w:rsidR="00B35E6C" w:rsidRPr="0073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05E"/>
    <w:multiLevelType w:val="multilevel"/>
    <w:tmpl w:val="D2D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258B1"/>
    <w:multiLevelType w:val="multilevel"/>
    <w:tmpl w:val="722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35635"/>
    <w:multiLevelType w:val="multilevel"/>
    <w:tmpl w:val="DBB6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E6A4F"/>
    <w:multiLevelType w:val="multilevel"/>
    <w:tmpl w:val="59C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2D"/>
    <w:rsid w:val="00732A90"/>
    <w:rsid w:val="00786A2D"/>
    <w:rsid w:val="00B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732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32A9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73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32A90"/>
    <w:rPr>
      <w:color w:val="0000FF"/>
      <w:u w:val="single"/>
    </w:rPr>
  </w:style>
  <w:style w:type="character" w:styleId="a5">
    <w:name w:val="Strong"/>
    <w:basedOn w:val="a0"/>
    <w:uiPriority w:val="22"/>
    <w:qFormat/>
    <w:rsid w:val="00732A90"/>
    <w:rPr>
      <w:b/>
      <w:bCs/>
    </w:rPr>
  </w:style>
  <w:style w:type="paragraph" w:customStyle="1" w:styleId="info">
    <w:name w:val="info"/>
    <w:basedOn w:val="a"/>
    <w:rsid w:val="0073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732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A9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32A9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73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32A90"/>
    <w:rPr>
      <w:color w:val="0000FF"/>
      <w:u w:val="single"/>
    </w:rPr>
  </w:style>
  <w:style w:type="character" w:styleId="a5">
    <w:name w:val="Strong"/>
    <w:basedOn w:val="a0"/>
    <w:uiPriority w:val="22"/>
    <w:qFormat/>
    <w:rsid w:val="00732A90"/>
    <w:rPr>
      <w:b/>
      <w:bCs/>
    </w:rPr>
  </w:style>
  <w:style w:type="paragraph" w:customStyle="1" w:styleId="info">
    <w:name w:val="info"/>
    <w:basedOn w:val="a"/>
    <w:rsid w:val="0073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3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4346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test/" TargetMode="External"/><Relationship Id="rId13" Type="http://schemas.openxmlformats.org/officeDocument/2006/relationships/hyperlink" Target="https://osvita.ua/test/training/" TargetMode="External"/><Relationship Id="rId18" Type="http://schemas.openxmlformats.org/officeDocument/2006/relationships/hyperlink" Target="https://osvita.ua/test/training/history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osvita.ua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zno.osvita.ua/" TargetMode="External"/><Relationship Id="rId17" Type="http://schemas.openxmlformats.org/officeDocument/2006/relationships/hyperlink" Target="https://osvita.ua/test/training/ukr-literatu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vita.ua/test/training/skorocheni-tvory/" TargetMode="External"/><Relationship Id="rId20" Type="http://schemas.openxmlformats.org/officeDocument/2006/relationships/hyperlink" Target="https://osvita.ua/test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svita.ua/test/training/501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vita.ua/test/training/english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svita.ua/consultations/" TargetMode="External"/><Relationship Id="rId19" Type="http://schemas.openxmlformats.org/officeDocument/2006/relationships/hyperlink" Target="https://osvita.ua/test/topics/492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82683/" TargetMode="External"/><Relationship Id="rId14" Type="http://schemas.openxmlformats.org/officeDocument/2006/relationships/hyperlink" Target="https://osvita.ua/test/training/ukr-mova/" TargetMode="External"/><Relationship Id="rId22" Type="http://schemas.openxmlformats.org/officeDocument/2006/relationships/hyperlink" Target="http://osvita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1285</Words>
  <Characters>7329</Characters>
  <Application>Microsoft Office Word</Application>
  <DocSecurity>0</DocSecurity>
  <Lines>61</Lines>
  <Paragraphs>17</Paragraphs>
  <ScaleCrop>false</ScaleCrop>
  <Company>diakov.net</Company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2021-09-21T12:01:00Z</dcterms:created>
  <dcterms:modified xsi:type="dcterms:W3CDTF">2021-09-21T12:03:00Z</dcterms:modified>
</cp:coreProperties>
</file>